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EFFB" w14:textId="77777777" w:rsidR="0056020C" w:rsidRDefault="0056020C">
      <w:pPr>
        <w:pStyle w:val="Ttulo"/>
        <w:spacing w:line="360" w:lineRule="auto"/>
        <w:ind w:left="0" w:hanging="2"/>
        <w:jc w:val="left"/>
        <w:rPr>
          <w:rFonts w:ascii="Century Gothic" w:eastAsia="Century Gothic" w:hAnsi="Century Gothic" w:cs="Century Gothic"/>
        </w:rPr>
      </w:pPr>
    </w:p>
    <w:p w14:paraId="703A1F03" w14:textId="77777777" w:rsidR="0056020C" w:rsidRDefault="008C0E84">
      <w:pPr>
        <w:pStyle w:val="Ttulo"/>
        <w:spacing w:line="360" w:lineRule="auto"/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CONVENIO MARCO DE COLABORACIÓN</w:t>
      </w:r>
    </w:p>
    <w:p w14:paraId="00C4A417" w14:textId="77777777" w:rsidR="0056020C" w:rsidRDefault="008C0E84">
      <w:pPr>
        <w:pStyle w:val="Ttulo"/>
        <w:spacing w:line="360" w:lineRule="auto"/>
        <w:ind w:left="0" w:hanging="2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ENTRE</w:t>
      </w:r>
    </w:p>
    <w:p w14:paraId="12D7AC59" w14:textId="77777777" w:rsidR="0056020C" w:rsidRDefault="0056020C">
      <w:pPr>
        <w:pStyle w:val="Ttulo"/>
        <w:spacing w:line="360" w:lineRule="auto"/>
        <w:ind w:left="0" w:hanging="2"/>
        <w:rPr>
          <w:rFonts w:ascii="Century Gothic" w:eastAsia="Century Gothic" w:hAnsi="Century Gothic" w:cs="Century Gothic"/>
        </w:rPr>
      </w:pPr>
    </w:p>
    <w:p w14:paraId="76FB8954" w14:textId="77777777" w:rsidR="0056020C" w:rsidRDefault="008C0E84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b/>
          <w:sz w:val="24"/>
          <w:szCs w:val="24"/>
        </w:rPr>
        <w:t>…………………………………………………</w:t>
      </w:r>
    </w:p>
    <w:p w14:paraId="2AD04D4C" w14:textId="77777777" w:rsidR="0056020C" w:rsidRDefault="0056020C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14321C87" w14:textId="77777777" w:rsidR="0056020C" w:rsidRDefault="008C0E84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Y</w:t>
      </w:r>
    </w:p>
    <w:p w14:paraId="617D1832" w14:textId="77777777" w:rsidR="0056020C" w:rsidRDefault="0056020C">
      <w:pPr>
        <w:pStyle w:val="Ttulo"/>
        <w:spacing w:line="360" w:lineRule="auto"/>
        <w:ind w:left="0" w:hanging="2"/>
        <w:rPr>
          <w:rFonts w:ascii="Century Gothic" w:eastAsia="Century Gothic" w:hAnsi="Century Gothic" w:cs="Century Gothic"/>
        </w:rPr>
      </w:pPr>
    </w:p>
    <w:p w14:paraId="17161600" w14:textId="77777777" w:rsidR="0056020C" w:rsidRDefault="008C0E84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Universidad Católica de Temuco, Chile</w:t>
      </w:r>
    </w:p>
    <w:p w14:paraId="4556BDB0" w14:textId="77777777" w:rsidR="0056020C" w:rsidRDefault="0056020C">
      <w:pPr>
        <w:spacing w:line="360" w:lineRule="auto"/>
        <w:ind w:left="0" w:hanging="2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BB7F1EA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En Temuco, a ………. de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…….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. de 2018, comparecen, por una parte, la </w:t>
      </w:r>
      <w:r>
        <w:rPr>
          <w:rFonts w:ascii="Century Gothic" w:eastAsia="Century Gothic" w:hAnsi="Century Gothic" w:cs="Century Gothic"/>
          <w:b/>
          <w:sz w:val="24"/>
          <w:szCs w:val="24"/>
        </w:rPr>
        <w:t>Universidad Católica de Temuco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RUT 71.918.700-5, entidad educacional, representada para estos efectos y según se acreditará, por su Rector y representante legal don </w:t>
      </w:r>
      <w:r>
        <w:rPr>
          <w:rFonts w:ascii="Century Gothic" w:eastAsia="Century Gothic" w:hAnsi="Century Gothic" w:cs="Century Gothic"/>
          <w:b/>
          <w:sz w:val="24"/>
          <w:szCs w:val="24"/>
        </w:rPr>
        <w:t>Aliro Samuel Bórquez Ramírez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, Cédula Nacional de Identidad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N°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6.648.890-K, ambos domiciliados en Avenida Alemania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N°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0211, Temuco, Chile, en adelante </w:t>
      </w:r>
      <w:r>
        <w:rPr>
          <w:rFonts w:ascii="Century Gothic" w:eastAsia="Century Gothic" w:hAnsi="Century Gothic" w:cs="Century Gothic"/>
          <w:b/>
          <w:sz w:val="24"/>
          <w:szCs w:val="24"/>
        </w:rPr>
        <w:t>“UC Temuco”.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y por la otra,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footnoteReference w:id="2"/>
      </w:r>
      <w:r>
        <w:rPr>
          <w:rFonts w:ascii="Century Gothic" w:eastAsia="Century Gothic" w:hAnsi="Century Gothic" w:cs="Century Gothic"/>
          <w:sz w:val="24"/>
          <w:szCs w:val="24"/>
        </w:rPr>
        <w:t xml:space="preserve"> ……………………………………………, RUT XX.XXX.XXX-X, representada para estos efectos y según se acreditará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por  …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…………………………..Cédula Nacional de Identidad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N°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XX.XXX.XXX-X, ambos domiciliados en XXXXXX, en adelante “XXX”,  quienes de acuerdo a las atribuciones que les competen, suscriben el siguiente convenio marco de colaboración:</w:t>
      </w:r>
    </w:p>
    <w:p w14:paraId="4AC863D7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4AB140A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PRIMERO.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Objeto.</w:t>
      </w:r>
    </w:p>
    <w:p w14:paraId="322C6A72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Las Instituciones comparecientes expresan por este acto su interés en planificar, ejecutar y evaluar conjuntamente actividades en los ámbitos de docencia, investigación, extensión y vínculo.</w:t>
      </w:r>
    </w:p>
    <w:p w14:paraId="6CFC74B3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C15D656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SEGUNDO.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Actividades.</w:t>
      </w:r>
    </w:p>
    <w:p w14:paraId="5CCC7CE1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 presente convenio tiene por objeto, sin perjuicio de ulteriores concreciones y convenios específicos en los diversos ámbitos reseñados, la realización conjunta de una o más de las siguientes actividades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footnoteReference w:id="3"/>
      </w:r>
      <w:r>
        <w:rPr>
          <w:rFonts w:ascii="Century Gothic" w:eastAsia="Century Gothic" w:hAnsi="Century Gothic" w:cs="Century Gothic"/>
          <w:sz w:val="24"/>
          <w:szCs w:val="24"/>
        </w:rPr>
        <w:t xml:space="preserve"> :</w:t>
      </w:r>
    </w:p>
    <w:p w14:paraId="2BDFA333" w14:textId="77777777" w:rsidR="0056020C" w:rsidRDefault="008C0E84">
      <w:pPr>
        <w:spacing w:line="360" w:lineRule="auto"/>
        <w:ind w:left="0" w:hanging="2"/>
      </w:pPr>
      <w:r>
        <w:tab/>
      </w:r>
    </w:p>
    <w:p w14:paraId="3D849EBD" w14:textId="77777777" w:rsidR="0056020C" w:rsidRDefault="008C0E84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Cooperación en la planificación, desarrollo y evaluación de actividades de investigación, docencia de pre y posgrado, extensión universitaria y/o asistencia técnica por medio de la ejecución conjunta de tales programas, en los términos y condiciones que en cada caso específico se establezcan, y en cualquiera de las áreas disciplinarias de la Universidad.</w:t>
      </w:r>
    </w:p>
    <w:p w14:paraId="23CA8FE1" w14:textId="77777777" w:rsidR="0056020C" w:rsidRDefault="0056020C">
      <w:pPr>
        <w:spacing w:line="360" w:lineRule="auto"/>
        <w:ind w:left="0" w:hanging="2"/>
      </w:pPr>
    </w:p>
    <w:p w14:paraId="2CFE6EB3" w14:textId="77777777" w:rsidR="0056020C" w:rsidRDefault="008C0E84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Desarrollo de proyectos de investigación en áreas de mutuo interés y competencia, con financiamiento de instituciones públicas o privadas, nacionales o internacionales, y de acuerdo a los procedimientos determinados en cada caso, así como publicar conjuntamente los resultados de estos proyectos.</w:t>
      </w:r>
    </w:p>
    <w:p w14:paraId="37E99934" w14:textId="77777777" w:rsidR="0056020C" w:rsidRDefault="0056020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17A72102" w14:textId="77777777" w:rsidR="0056020C" w:rsidRDefault="008C0E84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Intercambio y visita de académicos, investigadores y estudiantes para la realización de cursos, asignaturas, seminarios, conferencias y talleres, tanto en programas de pregrado como de posgrado.</w:t>
      </w:r>
    </w:p>
    <w:p w14:paraId="01A9F749" w14:textId="77777777" w:rsidR="0056020C" w:rsidRDefault="0056020C">
      <w:pPr>
        <w:spacing w:line="360" w:lineRule="auto"/>
        <w:ind w:left="0" w:hanging="2"/>
      </w:pPr>
    </w:p>
    <w:p w14:paraId="70806FC7" w14:textId="77777777" w:rsidR="0056020C" w:rsidRDefault="008C0E84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Intercambio, préstamo y publicación de artículos científicos y resultados de investigación, material bibliográfico y de audiovisuales, uso de material y servicios computacionales, y de otros servicios y programas que se definan en áreas de mutuo interés.</w:t>
      </w:r>
    </w:p>
    <w:p w14:paraId="0A4D1158" w14:textId="77777777" w:rsidR="0056020C" w:rsidRDefault="0056020C">
      <w:pPr>
        <w:spacing w:line="360" w:lineRule="auto"/>
        <w:ind w:left="0" w:hanging="2"/>
      </w:pPr>
    </w:p>
    <w:p w14:paraId="499F1923" w14:textId="77777777" w:rsidR="0056020C" w:rsidRDefault="008C0E84">
      <w:pPr>
        <w:numPr>
          <w:ilvl w:val="0"/>
          <w:numId w:val="1"/>
        </w:num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Co-organización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eventos académicos de difusión científica y/o de vinculación con el medio.</w:t>
      </w:r>
    </w:p>
    <w:p w14:paraId="77942815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09D29BB4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TERCERO.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Convenios Específicos</w:t>
      </w:r>
    </w:p>
    <w:p w14:paraId="6FABF56C" w14:textId="77777777" w:rsidR="0056020C" w:rsidRDefault="008C0E8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realización de cualquiera de las actividades reseñadas en la cláusula precedente deberá efectuarse al amparo del presente convenio y requerirá de un convenio específico que establezca un plan de trabajo individual, el cual deberá hacer referencia, a lo menos, a los objetivos y contenidos de la actividad, personas y unidades involucradas, derechos y obligaciones de cada una de las partes, infraestructura comprometida, coordinador o responsable de las mismas en representación de cada una de las partes y método de solución de conflictos. </w:t>
      </w:r>
    </w:p>
    <w:p w14:paraId="32F31072" w14:textId="77777777" w:rsidR="0056020C" w:rsidRDefault="0056020C">
      <w:pPr>
        <w:spacing w:line="360" w:lineRule="auto"/>
        <w:ind w:left="0" w:hanging="2"/>
      </w:pPr>
    </w:p>
    <w:p w14:paraId="31CAA195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CUARTO.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Financiamiento</w:t>
      </w:r>
    </w:p>
    <w:p w14:paraId="45A5A580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Las partes se comprometen a buscar, en forma conjunta, fuentes externas de financiamiento, para la ejecución de proyectos y demás actividades que se desarrollen, pudiendo recurrirse para ello a instituciones públicas o privadas, internacionales o nacionales, y con la sola limitación de otros acuerdos o convenios vigentes para cada una de ellas.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footnoteReference w:id="4"/>
      </w:r>
    </w:p>
    <w:p w14:paraId="7ECAE734" w14:textId="77777777" w:rsidR="0056020C" w:rsidRDefault="0056020C">
      <w:pPr>
        <w:spacing w:line="360" w:lineRule="auto"/>
        <w:ind w:left="0" w:hanging="2"/>
      </w:pPr>
    </w:p>
    <w:p w14:paraId="4914AF93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QUINTO.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Contrapartes Técnicas</w:t>
      </w:r>
    </w:p>
    <w:p w14:paraId="39A073A5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Para los efectos de este convenio la UC Temuco designa como contraparte técnica al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Director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 xml:space="preserve">/a de la Dirección de Relaciones Internacionales. Por su </w:t>
      </w:r>
      <w:proofErr w:type="gramStart"/>
      <w:r>
        <w:rPr>
          <w:rFonts w:ascii="Century Gothic" w:eastAsia="Century Gothic" w:hAnsi="Century Gothic" w:cs="Century Gothic"/>
          <w:sz w:val="24"/>
          <w:szCs w:val="24"/>
        </w:rPr>
        <w:t>parte, ….</w:t>
      </w:r>
      <w:proofErr w:type="gramEnd"/>
      <w:r>
        <w:rPr>
          <w:rFonts w:ascii="Century Gothic" w:eastAsia="Century Gothic" w:hAnsi="Century Gothic" w:cs="Century Gothic"/>
          <w:sz w:val="24"/>
          <w:szCs w:val="24"/>
        </w:rPr>
        <w:t>………… designa como contraparte técnica a …………………………</w:t>
      </w:r>
    </w:p>
    <w:p w14:paraId="5B81413B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08B0486F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SEXTO.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sz w:val="24"/>
          <w:szCs w:val="24"/>
        </w:rPr>
        <w:t>Vigencia</w:t>
      </w:r>
    </w:p>
    <w:p w14:paraId="6DD76F30" w14:textId="77777777" w:rsidR="0056020C" w:rsidRDefault="008C0E84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El presente Convenio tendrá duración de </w:t>
      </w:r>
      <w:r>
        <w:rPr>
          <w:rFonts w:ascii="Century Gothic" w:eastAsia="Century Gothic" w:hAnsi="Century Gothic" w:cs="Century Gothic"/>
          <w:sz w:val="24"/>
          <w:szCs w:val="24"/>
          <w:highlight w:val="yellow"/>
        </w:rPr>
        <w:t>5 años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y podrá ser renovado por el acuerdo manifiesto de las partes mediante la suscripción de la respectiva renovación. </w:t>
      </w:r>
    </w:p>
    <w:p w14:paraId="7CD16C5C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Cualquiera de las partes podrá ponerle término al presente convenio mediante comunicación escrita dirigida a la contraparte con una antelación mínima de noventa días a la fecha de término. El término anticipado, sin embargo, no obstará a la conclusión de actividades o programas en curso, de acuerdo con los convenios específicos y calendarización de cada una de ellas.</w:t>
      </w:r>
    </w:p>
    <w:p w14:paraId="0937033B" w14:textId="77777777" w:rsidR="0056020C" w:rsidRDefault="0056020C" w:rsidP="00307A75">
      <w:pPr>
        <w:spacing w:line="360" w:lineRule="auto"/>
        <w:ind w:left="0" w:hanging="2"/>
      </w:pPr>
    </w:p>
    <w:p w14:paraId="1E83A103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SÉPTIMO.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Resolución de Controversias</w:t>
      </w:r>
    </w:p>
    <w:p w14:paraId="3AC4BADE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Para resolver las dudas que pueden surgir en la ejecución e interpretación del presente convenio, las partes reunirán esfuerzos en la búsqueda de una solución consensual.</w:t>
      </w:r>
    </w:p>
    <w:p w14:paraId="2841BB21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No siendo posible, las partes indicarán, de común acuerdo, un tercero, persona física instruida en arbitraje internacional, para actuar como mediador y resolver las controversias basándose en la legislación de ambos los países.</w:t>
      </w:r>
    </w:p>
    <w:p w14:paraId="7CB4AAB7" w14:textId="77777777" w:rsidR="0056020C" w:rsidRDefault="0056020C" w:rsidP="00307A75">
      <w:pPr>
        <w:spacing w:line="360" w:lineRule="auto"/>
        <w:ind w:left="0" w:hanging="2"/>
      </w:pPr>
    </w:p>
    <w:p w14:paraId="3A06247E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OCTAVO.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Personerías</w:t>
      </w:r>
    </w:p>
    <w:p w14:paraId="18B2D2E9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La personería de don XXXXX, consta en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footnoteReference w:id="5"/>
      </w:r>
      <w:r>
        <w:rPr>
          <w:rFonts w:ascii="Century Gothic" w:eastAsia="Century Gothic" w:hAnsi="Century Gothic" w:cs="Century Gothic"/>
          <w:sz w:val="24"/>
          <w:szCs w:val="24"/>
        </w:rPr>
        <w:t xml:space="preserve"> …….</w:t>
      </w:r>
    </w:p>
    <w:p w14:paraId="1F520605" w14:textId="77777777" w:rsidR="0056020C" w:rsidRDefault="0056020C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28BDAB56" w14:textId="77777777" w:rsidR="0056020C" w:rsidRDefault="008C0E84" w:rsidP="00307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La personería de don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ALIRO SAMUEL BÓRQUEZ RAMÍREZ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para firmar en representación de la Universidad Católica de Temuco, consta en Decreto de Gran Cancillería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N°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4/2020, reducido a escritura pública con fecha 1º de septiembre de 2020, en la Cuarta Notaría de la ciudad de Temuco, inscrita en el repertorio de instrumentos públicos </w:t>
      </w:r>
      <w:proofErr w:type="spellStart"/>
      <w:r>
        <w:rPr>
          <w:rFonts w:ascii="Century Gothic" w:eastAsia="Century Gothic" w:hAnsi="Century Gothic" w:cs="Century Gothic"/>
          <w:color w:val="000000"/>
          <w:sz w:val="24"/>
          <w:szCs w:val="24"/>
        </w:rPr>
        <w:t>Nº</w:t>
      </w:r>
      <w:proofErr w:type="spellEnd"/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4416.</w:t>
      </w:r>
      <w:r>
        <w:rPr>
          <w:rFonts w:ascii="Arial" w:eastAsia="Arial" w:hAnsi="Arial" w:cs="Arial"/>
        </w:rPr>
        <w:tab/>
      </w:r>
    </w:p>
    <w:p w14:paraId="0F62BA97" w14:textId="77777777" w:rsidR="0056020C" w:rsidRDefault="0056020C" w:rsidP="00307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599CFD1C" w14:textId="77777777" w:rsidR="0056020C" w:rsidRDefault="0056020C" w:rsidP="00307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Arial" w:eastAsia="Arial" w:hAnsi="Arial" w:cs="Arial"/>
        </w:rPr>
      </w:pPr>
    </w:p>
    <w:p w14:paraId="0F6548BE" w14:textId="77777777" w:rsidR="001930F4" w:rsidRPr="001930F4" w:rsidRDefault="008C0E84" w:rsidP="00307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NOVENO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: </w:t>
      </w:r>
      <w:r w:rsidR="001930F4" w:rsidRPr="001930F4">
        <w:rPr>
          <w:rFonts w:ascii="Century Gothic" w:eastAsia="Century Gothic" w:hAnsi="Century Gothic" w:cs="Century Gothic"/>
          <w:b/>
          <w:sz w:val="24"/>
          <w:szCs w:val="24"/>
        </w:rPr>
        <w:t xml:space="preserve">Cumplimiento artículo 9 inciso tercero ley </w:t>
      </w:r>
      <w:proofErr w:type="spellStart"/>
      <w:r w:rsidR="001930F4" w:rsidRPr="001930F4">
        <w:rPr>
          <w:rFonts w:ascii="Century Gothic" w:eastAsia="Century Gothic" w:hAnsi="Century Gothic" w:cs="Century Gothic"/>
          <w:b/>
          <w:sz w:val="24"/>
          <w:szCs w:val="24"/>
        </w:rPr>
        <w:t>N°</w:t>
      </w:r>
      <w:proofErr w:type="spellEnd"/>
      <w:r w:rsidR="001930F4" w:rsidRPr="001930F4">
        <w:rPr>
          <w:rFonts w:ascii="Century Gothic" w:eastAsia="Century Gothic" w:hAnsi="Century Gothic" w:cs="Century Gothic"/>
          <w:b/>
          <w:sz w:val="24"/>
          <w:szCs w:val="24"/>
        </w:rPr>
        <w:t xml:space="preserve"> 21.369 sobre acoso </w:t>
      </w:r>
    </w:p>
    <w:p w14:paraId="76A6F53C" w14:textId="3BA455A0" w:rsidR="0056020C" w:rsidRDefault="001930F4" w:rsidP="00307A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 w:rsidRPr="001930F4"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sexual, violencia y discriminación de género en el ámbito de la educación superior</w:t>
      </w:r>
    </w:p>
    <w:p w14:paraId="7E1AE55F" w14:textId="77777777" w:rsidR="0056020C" w:rsidRDefault="008C0E84" w:rsidP="00307A75">
      <w:pPr>
        <w:spacing w:before="240" w:after="240"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Las partes acuerdan que, de conformidad a lo dispuesto en la ley No21.369, forman parte integrante del presente instrumento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política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integral contra el acoso sexual, la violencia y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discriminación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UC Temuco, la cual se encuentra conformada por (i)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Política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UC Temuco (DR 35/2019)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el Modelo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prevención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del acoso, la violencia y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discriminación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UC Temuco (DR 113/2022),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iii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el Reglamento para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investigación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,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sanción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reparación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del acoso sexual, la violencia y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discriminación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UC Temuco (DR 114/2022); (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iv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) el Protocolo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actuación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frente a casos de violencia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de la UC Temuco (Res.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Secretaría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General 24/2020); (v) el Protocolo de identidad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uso de nombre social (Res.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Secretaría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General 17/2021); y (vi) el Protocolo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atención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y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acompañamiento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a personas afectadas por violencia de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género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; o la normativa que los reemplace o modifique, documentos que se encuentran disponibles en la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página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web de libre acceso al </w:t>
      </w:r>
      <w:proofErr w:type="spellStart"/>
      <w:r>
        <w:rPr>
          <w:rFonts w:ascii="Century Gothic" w:eastAsia="Century Gothic" w:hAnsi="Century Gothic" w:cs="Century Gothic"/>
          <w:sz w:val="24"/>
          <w:szCs w:val="24"/>
        </w:rPr>
        <w:t>público</w:t>
      </w:r>
      <w:proofErr w:type="spellEnd"/>
      <w:r>
        <w:rPr>
          <w:rFonts w:ascii="Century Gothic" w:eastAsia="Century Gothic" w:hAnsi="Century Gothic" w:cs="Century Gothic"/>
          <w:sz w:val="24"/>
          <w:szCs w:val="24"/>
        </w:rPr>
        <w:t xml:space="preserve"> https://direcciongenero.uct.cl/, normativa que declaran conocer y resulta vinculante para las partes. </w:t>
      </w:r>
    </w:p>
    <w:p w14:paraId="68DE60F9" w14:textId="77777777" w:rsidR="0056020C" w:rsidRDefault="0056020C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  <w:u w:val="single"/>
        </w:rPr>
      </w:pPr>
    </w:p>
    <w:p w14:paraId="363B2D37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u w:val="single"/>
        </w:rPr>
        <w:t>DÉCIMO.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Ejemplares</w:t>
      </w:r>
    </w:p>
    <w:p w14:paraId="17425B05" w14:textId="77777777" w:rsidR="0056020C" w:rsidRDefault="008C0E84" w:rsidP="00307A75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El presente convenio se firma en cuatro (4) ejemplares de igual tenor y valor, dos en inglés y dos en español, quedando un ejemplar en cada lengua en poder de cada parte.</w:t>
      </w:r>
    </w:p>
    <w:p w14:paraId="67AA7F98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2EDCD94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7F454B2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36217C5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53691A4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797E3FCE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897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489"/>
        <w:gridCol w:w="4489"/>
      </w:tblGrid>
      <w:tr w:rsidR="0056020C" w14:paraId="551FD12C" w14:textId="77777777">
        <w:tc>
          <w:tcPr>
            <w:tcW w:w="4489" w:type="dxa"/>
          </w:tcPr>
          <w:p w14:paraId="7B62AC02" w14:textId="77777777" w:rsidR="0056020C" w:rsidRDefault="0056020C">
            <w:pPr>
              <w:pBdr>
                <w:bottom w:val="single" w:sz="12" w:space="1" w:color="000000"/>
              </w:pBd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136DB168" w14:textId="77777777" w:rsidR="0056020C" w:rsidRDefault="008C0E84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Aliro Bórquez Ramírez</w:t>
            </w:r>
          </w:p>
          <w:p w14:paraId="723B8CD0" w14:textId="77777777" w:rsidR="0056020C" w:rsidRDefault="008C0E84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Rector</w:t>
            </w:r>
          </w:p>
          <w:p w14:paraId="719603F1" w14:textId="77777777" w:rsidR="0056020C" w:rsidRDefault="008C0E84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Universidad Católica de Temuco</w:t>
            </w:r>
          </w:p>
        </w:tc>
        <w:tc>
          <w:tcPr>
            <w:tcW w:w="4489" w:type="dxa"/>
          </w:tcPr>
          <w:p w14:paraId="23222279" w14:textId="77777777" w:rsidR="0056020C" w:rsidRDefault="0056020C">
            <w:pPr>
              <w:pBdr>
                <w:bottom w:val="single" w:sz="12" w:space="1" w:color="000000"/>
              </w:pBdr>
              <w:spacing w:line="360" w:lineRule="auto"/>
              <w:ind w:left="0" w:hanging="2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  <w:p w14:paraId="6F91416A" w14:textId="77777777" w:rsidR="0056020C" w:rsidRDefault="008C0E84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(Nombre)</w:t>
            </w:r>
          </w:p>
          <w:p w14:paraId="328767F6" w14:textId="77777777" w:rsidR="0056020C" w:rsidRDefault="008C0E84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(Cargo)</w:t>
            </w:r>
          </w:p>
          <w:p w14:paraId="0FAC03F0" w14:textId="77777777" w:rsidR="0056020C" w:rsidRDefault="008C0E84">
            <w:pPr>
              <w:spacing w:line="360" w:lineRule="auto"/>
              <w:ind w:left="0" w:hanging="2"/>
              <w:jc w:val="center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(Institución)</w:t>
            </w:r>
          </w:p>
        </w:tc>
      </w:tr>
    </w:tbl>
    <w:p w14:paraId="40A86DA9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883BCB8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0EBADE5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C7AF5DF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4373105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46071D1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2FB596F" w14:textId="77777777" w:rsidR="0056020C" w:rsidRDefault="0056020C">
      <w:pPr>
        <w:spacing w:line="360" w:lineRule="auto"/>
        <w:ind w:left="0" w:hanging="2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sectPr w:rsidR="0056020C">
      <w:headerReference w:type="default" r:id="rId8"/>
      <w:footerReference w:type="default" r:id="rId9"/>
      <w:pgSz w:w="12240" w:h="15840"/>
      <w:pgMar w:top="709" w:right="1701" w:bottom="1418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2568" w14:textId="77777777" w:rsidR="000E7C10" w:rsidRDefault="000E7C10">
      <w:pPr>
        <w:spacing w:line="240" w:lineRule="auto"/>
        <w:ind w:left="0" w:hanging="2"/>
      </w:pPr>
      <w:r>
        <w:separator/>
      </w:r>
    </w:p>
  </w:endnote>
  <w:endnote w:type="continuationSeparator" w:id="0">
    <w:p w14:paraId="2FC05E86" w14:textId="77777777" w:rsidR="000E7C10" w:rsidRDefault="000E7C10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B4ACF" w14:textId="77777777" w:rsidR="0056020C" w:rsidRDefault="008C0E84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930F4">
      <w:rPr>
        <w:noProof/>
        <w:color w:val="000000"/>
      </w:rPr>
      <w:t>1</w:t>
    </w:r>
    <w:r>
      <w:rPr>
        <w:color w:val="000000"/>
      </w:rPr>
      <w:fldChar w:fldCharType="end"/>
    </w:r>
  </w:p>
  <w:p w14:paraId="7581C2C2" w14:textId="77777777" w:rsidR="0056020C" w:rsidRDefault="0056020C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CEB7" w14:textId="77777777" w:rsidR="000E7C10" w:rsidRDefault="000E7C10">
      <w:pPr>
        <w:spacing w:line="240" w:lineRule="auto"/>
        <w:ind w:left="0" w:hanging="2"/>
      </w:pPr>
      <w:r>
        <w:separator/>
      </w:r>
    </w:p>
  </w:footnote>
  <w:footnote w:type="continuationSeparator" w:id="0">
    <w:p w14:paraId="43DAEB45" w14:textId="77777777" w:rsidR="000E7C10" w:rsidRDefault="000E7C10">
      <w:pPr>
        <w:spacing w:line="240" w:lineRule="auto"/>
        <w:ind w:left="0" w:hanging="2"/>
      </w:pPr>
      <w:r>
        <w:continuationSeparator/>
      </w:r>
    </w:p>
  </w:footnote>
  <w:footnote w:id="1">
    <w:p w14:paraId="33875650" w14:textId="77777777" w:rsidR="0056020C" w:rsidRDefault="008C0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Style w:val="Refdenotaalpie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Indicar el nombre de la institución con la que se firma</w:t>
      </w:r>
    </w:p>
  </w:footnote>
  <w:footnote w:id="2">
    <w:p w14:paraId="6A071D24" w14:textId="77777777" w:rsidR="0056020C" w:rsidRDefault="008C0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rStyle w:val="Refdenotaalpie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Indicar nombres de la institución y RUT, además del nombre y cédula de identidad del representante legal.</w:t>
      </w:r>
    </w:p>
  </w:footnote>
  <w:footnote w:id="3">
    <w:p w14:paraId="2DF5E55E" w14:textId="77777777" w:rsidR="0056020C" w:rsidRDefault="008C0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Style w:val="Refdenotaalpie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Pueden añadirse o quitarse los objetivos dependiendo del caso.</w:t>
      </w:r>
    </w:p>
  </w:footnote>
  <w:footnote w:id="4">
    <w:p w14:paraId="4D6D0138" w14:textId="77777777" w:rsidR="0056020C" w:rsidRDefault="008C0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entury Gothic" w:eastAsia="Century Gothic" w:hAnsi="Century Gothic" w:cs="Century Gothic"/>
          <w:color w:val="000000"/>
        </w:rPr>
      </w:pPr>
      <w:r>
        <w:rPr>
          <w:rStyle w:val="Refdenotaalpie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De existir recursos también se puede indicar que el convenio se financiará con aportes de las instituciones, los que pueden ser en dinero o valorizados.</w:t>
      </w:r>
    </w:p>
  </w:footnote>
  <w:footnote w:id="5">
    <w:p w14:paraId="69D4926A" w14:textId="77777777" w:rsidR="0056020C" w:rsidRDefault="008C0E8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entury Gothic" w:eastAsia="Century Gothic" w:hAnsi="Century Gothic" w:cs="Century Gothic"/>
          <w:color w:val="000000"/>
        </w:rPr>
      </w:pPr>
      <w:r>
        <w:rPr>
          <w:rStyle w:val="Refdenotaalpie"/>
        </w:rPr>
        <w:footnoteRef/>
      </w:r>
      <w:r>
        <w:rPr>
          <w:rFonts w:ascii="Century Gothic" w:eastAsia="Century Gothic" w:hAnsi="Century Gothic" w:cs="Century Gothic"/>
          <w:color w:val="000000"/>
        </w:rPr>
        <w:t xml:space="preserve"> Adjuntar documento en que conste la personería.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1ABA8" w14:textId="77777777" w:rsidR="0056020C" w:rsidRDefault="008C0E84">
    <w:pPr>
      <w:widowControl w:val="0"/>
      <w:pBdr>
        <w:top w:val="nil"/>
        <w:left w:val="nil"/>
        <w:bottom w:val="nil"/>
        <w:right w:val="nil"/>
        <w:between w:val="nil"/>
      </w:pBdr>
      <w:tabs>
        <w:tab w:val="left" w:pos="3420"/>
      </w:tabs>
      <w:spacing w:line="240" w:lineRule="auto"/>
      <w:ind w:left="0" w:hanging="2"/>
      <w:rPr>
        <w:rFonts w:ascii="Calibri" w:eastAsia="Calibri" w:hAnsi="Calibri" w:cs="Calibri"/>
        <w:color w:val="BFBFBF"/>
        <w:sz w:val="36"/>
        <w:szCs w:val="36"/>
      </w:rPr>
    </w:pPr>
    <w:r>
      <w:rPr>
        <w:rFonts w:ascii="Calibri" w:eastAsia="Calibri" w:hAnsi="Calibri" w:cs="Calibri"/>
        <w:b/>
        <w:color w:val="BFBFBF"/>
        <w:sz w:val="24"/>
        <w:szCs w:val="24"/>
      </w:rPr>
      <w:t>Insertar logo contraparte/ tamaño similar</w:t>
    </w:r>
    <w:r>
      <w:rPr>
        <w:rFonts w:ascii="Calibri" w:eastAsia="Calibri" w:hAnsi="Calibri" w:cs="Calibri"/>
        <w:b/>
        <w:color w:val="BFBFBF"/>
        <w:sz w:val="36"/>
        <w:szCs w:val="36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FA1E554" wp14:editId="60E7B13D">
          <wp:simplePos x="0" y="0"/>
          <wp:positionH relativeFrom="column">
            <wp:posOffset>4544060</wp:posOffset>
          </wp:positionH>
          <wp:positionV relativeFrom="paragraph">
            <wp:posOffset>-193039</wp:posOffset>
          </wp:positionV>
          <wp:extent cx="1805940" cy="6273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5940" cy="627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6335E9" w14:textId="77777777" w:rsidR="0056020C" w:rsidRDefault="0056020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14:paraId="7917D201" w14:textId="77777777" w:rsidR="0056020C" w:rsidRDefault="0056020C"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D49EE"/>
    <w:multiLevelType w:val="multilevel"/>
    <w:tmpl w:val="E3B421BE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6D34238"/>
    <w:multiLevelType w:val="multilevel"/>
    <w:tmpl w:val="2B80285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0C"/>
    <w:rsid w:val="000E7C10"/>
    <w:rsid w:val="001930F4"/>
    <w:rsid w:val="00307A75"/>
    <w:rsid w:val="0056020C"/>
    <w:rsid w:val="008C0E84"/>
    <w:rsid w:val="00B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D53CC"/>
  <w15:docId w15:val="{5F035E05-4635-4868-BDB5-6894FE666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  <w:sz w:val="24"/>
      <w:u w:val="single"/>
      <w:lang w:val="es-MX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jc w:val="center"/>
      <w:outlineLvl w:val="1"/>
    </w:pPr>
    <w:rPr>
      <w:b/>
      <w:sz w:val="24"/>
      <w:lang w:val="es-MX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b/>
      <w:sz w:val="24"/>
      <w:lang w:val="es-MX"/>
    </w:rPr>
  </w:style>
  <w:style w:type="table" w:customStyle="1" w:styleId="TableNormal0">
    <w:name w:val="Table Normal"/>
    <w:next w:val="Table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pPr>
      <w:jc w:val="both"/>
    </w:pPr>
    <w:rPr>
      <w:sz w:val="24"/>
      <w:lang w:val="es-MX"/>
    </w:rPr>
  </w:style>
  <w:style w:type="paragraph" w:customStyle="1" w:styleId="Level1">
    <w:name w:val="Level 1"/>
    <w:basedOn w:val="Normal"/>
    <w:pPr>
      <w:numPr>
        <w:numId w:val="2"/>
      </w:numPr>
      <w:ind w:left="-1" w:hanging="1"/>
    </w:pPr>
    <w:rPr>
      <w:sz w:val="24"/>
      <w:lang w:val="en-US"/>
    </w:rPr>
  </w:style>
  <w:style w:type="paragraph" w:styleId="Textoindependiente2">
    <w:name w:val="Body Text 2"/>
    <w:basedOn w:val="Normal"/>
    <w:pPr>
      <w:jc w:val="both"/>
    </w:pPr>
    <w:rPr>
      <w:color w:val="FF0000"/>
      <w:sz w:val="24"/>
      <w:lang w:val="es-MX"/>
    </w:rPr>
  </w:style>
  <w:style w:type="paragraph" w:styleId="Descripcin">
    <w:name w:val="caption"/>
    <w:basedOn w:val="Normal"/>
    <w:next w:val="Normal"/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</w:style>
  <w:style w:type="character" w:customStyle="1" w:styleId="FootnoteTextChar">
    <w:name w:val="Footnote Text Ch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character" w:styleId="Refdenotaalpie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styleId="Prrafodelista">
    <w:name w:val="List Paragraph"/>
    <w:basedOn w:val="Normal"/>
    <w:pPr>
      <w:ind w:left="708"/>
    </w:pPr>
  </w:style>
  <w:style w:type="paragraph" w:styleId="Encabezado">
    <w:name w:val="header"/>
    <w:basedOn w:val="Normal"/>
    <w:pPr>
      <w:widowControl w:val="0"/>
      <w:suppressAutoHyphens w:val="0"/>
      <w:autoSpaceDE w:val="0"/>
    </w:pPr>
    <w:rPr>
      <w:lang w:val="en-US" w:eastAsia="zh-CN"/>
    </w:rPr>
  </w:style>
  <w:style w:type="character" w:customStyle="1" w:styleId="HeaderChar">
    <w:name w:val="Header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Piedepgina">
    <w:name w:val="footer"/>
    <w:basedOn w:val="Normal"/>
  </w:style>
  <w:style w:type="character" w:customStyle="1" w:styleId="FooterChar">
    <w:name w:val="Footer Char"/>
    <w:basedOn w:val="Fuentedeprrafopredeter"/>
    <w:rPr>
      <w:w w:val="100"/>
      <w:position w:val="-1"/>
      <w:effect w:val="none"/>
      <w:vertAlign w:val="baseline"/>
      <w:cs w:val="0"/>
      <w:em w:val="none"/>
    </w:rPr>
  </w:style>
  <w:style w:type="paragraph" w:styleId="Sinespaciad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val="es-CL" w:eastAsia="en-US"/>
    </w:rPr>
  </w:style>
  <w:style w:type="paragraph" w:styleId="Mapadeldocumento">
    <w:name w:val="Document Map"/>
    <w:basedOn w:val="Normal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rPr>
      <w:rFonts w:ascii="Lucida Grande" w:hAnsi="Lucida Grande" w:cs="Lucida Grande"/>
      <w:w w:val="100"/>
      <w:position w:val="-1"/>
      <w:sz w:val="24"/>
      <w:szCs w:val="24"/>
      <w:effect w:val="none"/>
      <w:vertAlign w:val="baseline"/>
      <w:cs w:val="0"/>
      <w:em w:val="none"/>
      <w:lang w:val="es-ES" w:eastAsia="es-ES"/>
    </w:rPr>
  </w:style>
  <w:style w:type="paragraph" w:styleId="Revisi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Jx/Zn5gCBeCjUE/CfAz3dUIu3A==">AMUW2mVykmdrL8QyUcIXg/2d5ye/Y69ON7x7wFP/FcNlfuisiXfI5McTIU9IwAP39+1oyIwDptE6lDBkGZ3UfhpISGWzmTr8wZ/NUPhZ82HeWDmyxxLau5Y=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1025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Catolica de Temuco</Company>
  <LinksUpToDate>false</LinksUpToDate>
  <CharactersWithSpaces>6655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Católica de Temuc</dc:creator>
  <cp:lastModifiedBy>uct</cp:lastModifiedBy>
  <cp:revision>3</cp:revision>
  <dcterms:created xsi:type="dcterms:W3CDTF">2018-11-20T12:12:00Z</dcterms:created>
  <dcterms:modified xsi:type="dcterms:W3CDTF">2023-01-18T18:30:00Z</dcterms:modified>
</cp:coreProperties>
</file>